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C61" w:rsidRDefault="0081537A" w:rsidP="00180A8B">
      <w:pPr>
        <w:rPr>
          <w:noProof/>
        </w:rPr>
      </w:pPr>
      <w:bookmarkStart w:id="0" w:name="_GoBack"/>
      <w:bookmarkEnd w:id="0"/>
      <w:r>
        <w:rPr>
          <w:noProof/>
        </w:rPr>
        <w:drawing>
          <wp:inline distT="0" distB="0" distL="0" distR="0">
            <wp:extent cx="1524000" cy="771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771525"/>
                    </a:xfrm>
                    <a:prstGeom prst="rect">
                      <a:avLst/>
                    </a:prstGeom>
                    <a:noFill/>
                    <a:ln>
                      <a:noFill/>
                    </a:ln>
                  </pic:spPr>
                </pic:pic>
              </a:graphicData>
            </a:graphic>
          </wp:inline>
        </w:drawing>
      </w:r>
      <w:r w:rsidR="00ED3C61">
        <w:rPr>
          <w:noProof/>
        </w:rPr>
        <w:tab/>
      </w:r>
      <w:r w:rsidR="00ED3C61">
        <w:rPr>
          <w:noProof/>
        </w:rPr>
        <w:tab/>
      </w:r>
      <w:r w:rsidR="00ED3C61">
        <w:rPr>
          <w:noProof/>
        </w:rPr>
        <w:tab/>
      </w:r>
      <w:r w:rsidR="00ED3C61">
        <w:rPr>
          <w:noProof/>
        </w:rPr>
        <w:tab/>
      </w:r>
      <w:r w:rsidR="00ED3C61">
        <w:rPr>
          <w:noProof/>
        </w:rPr>
        <w:tab/>
      </w:r>
      <w:r w:rsidR="00ED3C61">
        <w:rPr>
          <w:noProof/>
        </w:rPr>
        <w:tab/>
      </w:r>
      <w:r w:rsidR="00ED3C61">
        <w:rPr>
          <w:noProof/>
        </w:rPr>
        <w:tab/>
        <w:t xml:space="preserve">            </w:t>
      </w:r>
      <w:r>
        <w:rPr>
          <w:noProof/>
        </w:rPr>
        <w:drawing>
          <wp:inline distT="0" distB="0" distL="0" distR="0">
            <wp:extent cx="904875" cy="88582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4875" cy="885825"/>
                    </a:xfrm>
                    <a:prstGeom prst="rect">
                      <a:avLst/>
                    </a:prstGeom>
                    <a:noFill/>
                    <a:ln>
                      <a:noFill/>
                    </a:ln>
                  </pic:spPr>
                </pic:pic>
              </a:graphicData>
            </a:graphic>
          </wp:inline>
        </w:drawing>
      </w:r>
    </w:p>
    <w:p w:rsidR="00ED3C61" w:rsidRPr="00F53039" w:rsidRDefault="00ED3C61" w:rsidP="00F53039">
      <w:pPr>
        <w:jc w:val="center"/>
        <w:rPr>
          <w:b/>
          <w:sz w:val="28"/>
          <w:szCs w:val="28"/>
        </w:rPr>
      </w:pPr>
      <w:r>
        <w:rPr>
          <w:b/>
          <w:sz w:val="28"/>
          <w:szCs w:val="28"/>
        </w:rPr>
        <w:t>2012 CWRP</w:t>
      </w:r>
      <w:r w:rsidRPr="00F53039">
        <w:rPr>
          <w:b/>
          <w:sz w:val="28"/>
          <w:szCs w:val="28"/>
        </w:rPr>
        <w:t xml:space="preserve"> Report</w:t>
      </w:r>
    </w:p>
    <w:p w:rsidR="00ED3C61" w:rsidRDefault="00ED3C61">
      <w:r>
        <w:t xml:space="preserve">The Corporate Wetlands Restoration Partnership (CWRP), a standing committee of the Coastal America Foundation, is comprised of the National Management Subcommittee and 15 state chapters.  The following report summarizes CWRP activity from 1999 through 2011 with emphasis on years 2010 and 2011. Data included in this report was obtained from state CWRP chapters and Coastal America Foundation financial records. </w:t>
      </w:r>
    </w:p>
    <w:p w:rsidR="00ED3C61" w:rsidRDefault="00ED3C61">
      <w:r>
        <w:t xml:space="preserve">Since 1999 the CWRP has provided financial and in-kind services support for 308 projects and programs across the </w:t>
      </w:r>
      <w:smartTag w:uri="urn:schemas-microsoft-com:office:smarttags" w:element="country-region">
        <w:r>
          <w:t>U.S.</w:t>
        </w:r>
      </w:smartTag>
      <w:r>
        <w:t xml:space="preserve"> and in </w:t>
      </w:r>
      <w:smartTag w:uri="urn:schemas-microsoft-com:office:smarttags" w:element="country-region">
        <w:r>
          <w:t>Canada</w:t>
        </w:r>
      </w:smartTag>
      <w:r>
        <w:t xml:space="preserve"> and </w:t>
      </w:r>
      <w:smartTag w:uri="urn:schemas-microsoft-com:office:smarttags" w:element="place">
        <w:smartTag w:uri="urn:schemas-microsoft-com:office:smarttags" w:element="country-region">
          <w:r>
            <w:t>Mexico</w:t>
          </w:r>
        </w:smartTag>
      </w:smartTag>
      <w:r>
        <w:t xml:space="preserve">. With a total investment of $4,942,000 the CWRP has leveraged $114,705,000 in federal, state, and NGO funds to restore and protect 64,756 acres and 1,069 stream miles of aquatic habitat, educate 3,098 student and teachers, and attract 810 project volunteers. In addition, corporate CWRP members have voluntarily invested more than 18,000 hours in managing the partnership. </w:t>
      </w:r>
    </w:p>
    <w:p w:rsidR="00ED3C61" w:rsidRDefault="00ED3C61">
      <w:r>
        <w:t xml:space="preserve">The following table summarizes CWRP performance: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8"/>
        <w:gridCol w:w="2250"/>
        <w:gridCol w:w="2160"/>
        <w:gridCol w:w="2178"/>
      </w:tblGrid>
      <w:tr w:rsidR="00ED3C61" w:rsidRPr="002561D6" w:rsidTr="002561D6">
        <w:tc>
          <w:tcPr>
            <w:tcW w:w="2988" w:type="dxa"/>
          </w:tcPr>
          <w:p w:rsidR="00ED3C61" w:rsidRPr="002561D6" w:rsidRDefault="00ED3C61" w:rsidP="002561D6">
            <w:pPr>
              <w:spacing w:after="0" w:line="240" w:lineRule="auto"/>
            </w:pPr>
          </w:p>
        </w:tc>
        <w:tc>
          <w:tcPr>
            <w:tcW w:w="2250" w:type="dxa"/>
          </w:tcPr>
          <w:p w:rsidR="00ED3C61" w:rsidRPr="002561D6" w:rsidRDefault="00ED3C61" w:rsidP="002561D6">
            <w:pPr>
              <w:spacing w:after="0" w:line="240" w:lineRule="auto"/>
              <w:jc w:val="center"/>
            </w:pPr>
            <w:r w:rsidRPr="002561D6">
              <w:t>1999 – 2009</w:t>
            </w:r>
          </w:p>
          <w:p w:rsidR="00ED3C61" w:rsidRPr="002561D6" w:rsidRDefault="00ED3C61" w:rsidP="002561D6">
            <w:pPr>
              <w:spacing w:after="0" w:line="240" w:lineRule="auto"/>
              <w:jc w:val="center"/>
            </w:pPr>
            <w:r w:rsidRPr="002561D6">
              <w:t>(10 Year Report)</w:t>
            </w:r>
          </w:p>
        </w:tc>
        <w:tc>
          <w:tcPr>
            <w:tcW w:w="2160" w:type="dxa"/>
          </w:tcPr>
          <w:p w:rsidR="00ED3C61" w:rsidRPr="002561D6" w:rsidRDefault="00ED3C61" w:rsidP="002561D6">
            <w:pPr>
              <w:spacing w:after="0" w:line="240" w:lineRule="auto"/>
              <w:jc w:val="center"/>
            </w:pPr>
            <w:r w:rsidRPr="002561D6">
              <w:t>2010 -2011</w:t>
            </w:r>
          </w:p>
        </w:tc>
        <w:tc>
          <w:tcPr>
            <w:tcW w:w="2178" w:type="dxa"/>
          </w:tcPr>
          <w:p w:rsidR="00ED3C61" w:rsidRPr="002561D6" w:rsidRDefault="00ED3C61" w:rsidP="002561D6">
            <w:pPr>
              <w:spacing w:after="0" w:line="240" w:lineRule="auto"/>
              <w:jc w:val="center"/>
            </w:pPr>
            <w:r w:rsidRPr="002561D6">
              <w:t>1999 -2011</w:t>
            </w:r>
          </w:p>
        </w:tc>
      </w:tr>
      <w:tr w:rsidR="00ED3C61" w:rsidRPr="002561D6" w:rsidTr="002561D6">
        <w:tc>
          <w:tcPr>
            <w:tcW w:w="2988" w:type="dxa"/>
          </w:tcPr>
          <w:p w:rsidR="00ED3C61" w:rsidRPr="002561D6" w:rsidRDefault="00ED3C61" w:rsidP="002561D6">
            <w:pPr>
              <w:spacing w:after="0" w:line="240" w:lineRule="auto"/>
            </w:pPr>
            <w:r w:rsidRPr="002561D6">
              <w:t>Total  Projects</w:t>
            </w:r>
          </w:p>
        </w:tc>
        <w:tc>
          <w:tcPr>
            <w:tcW w:w="2250" w:type="dxa"/>
          </w:tcPr>
          <w:p w:rsidR="00ED3C61" w:rsidRPr="002561D6" w:rsidRDefault="00ED3C61" w:rsidP="002561D6">
            <w:pPr>
              <w:spacing w:after="0" w:line="240" w:lineRule="auto"/>
              <w:jc w:val="center"/>
            </w:pPr>
            <w:r w:rsidRPr="002561D6">
              <w:t>243</w:t>
            </w:r>
          </w:p>
        </w:tc>
        <w:tc>
          <w:tcPr>
            <w:tcW w:w="2160" w:type="dxa"/>
          </w:tcPr>
          <w:p w:rsidR="00ED3C61" w:rsidRPr="002561D6" w:rsidRDefault="00ED3C61" w:rsidP="002561D6">
            <w:pPr>
              <w:spacing w:after="0" w:line="240" w:lineRule="auto"/>
              <w:jc w:val="center"/>
            </w:pPr>
            <w:r w:rsidRPr="002561D6">
              <w:t xml:space="preserve">65 (1) </w:t>
            </w:r>
          </w:p>
        </w:tc>
        <w:tc>
          <w:tcPr>
            <w:tcW w:w="2178" w:type="dxa"/>
          </w:tcPr>
          <w:p w:rsidR="00ED3C61" w:rsidRPr="002561D6" w:rsidRDefault="00ED3C61" w:rsidP="002561D6">
            <w:pPr>
              <w:spacing w:after="0" w:line="240" w:lineRule="auto"/>
              <w:jc w:val="center"/>
            </w:pPr>
            <w:r w:rsidRPr="002561D6">
              <w:t>308 (1)</w:t>
            </w:r>
          </w:p>
        </w:tc>
      </w:tr>
      <w:tr w:rsidR="00ED3C61" w:rsidRPr="002561D6" w:rsidTr="002561D6">
        <w:trPr>
          <w:trHeight w:val="287"/>
        </w:trPr>
        <w:tc>
          <w:tcPr>
            <w:tcW w:w="2988" w:type="dxa"/>
          </w:tcPr>
          <w:p w:rsidR="00ED3C61" w:rsidRPr="002561D6" w:rsidRDefault="00ED3C61" w:rsidP="002561D6">
            <w:pPr>
              <w:spacing w:after="0" w:line="240" w:lineRule="auto"/>
            </w:pPr>
            <w:r w:rsidRPr="002561D6">
              <w:t xml:space="preserve">     Wetland Restoration</w:t>
            </w:r>
          </w:p>
        </w:tc>
        <w:tc>
          <w:tcPr>
            <w:tcW w:w="2250" w:type="dxa"/>
          </w:tcPr>
          <w:p w:rsidR="00ED3C61" w:rsidRPr="002561D6" w:rsidRDefault="00ED3C61" w:rsidP="002561D6">
            <w:pPr>
              <w:spacing w:after="0" w:line="240" w:lineRule="auto"/>
              <w:jc w:val="center"/>
            </w:pPr>
            <w:r w:rsidRPr="002561D6">
              <w:t>99</w:t>
            </w:r>
          </w:p>
        </w:tc>
        <w:tc>
          <w:tcPr>
            <w:tcW w:w="2160" w:type="dxa"/>
          </w:tcPr>
          <w:p w:rsidR="00ED3C61" w:rsidRPr="002561D6" w:rsidRDefault="00ED3C61" w:rsidP="002561D6">
            <w:pPr>
              <w:spacing w:after="0" w:line="240" w:lineRule="auto"/>
              <w:jc w:val="center"/>
            </w:pPr>
            <w:r w:rsidRPr="002561D6">
              <w:t>6</w:t>
            </w:r>
          </w:p>
        </w:tc>
        <w:tc>
          <w:tcPr>
            <w:tcW w:w="2178" w:type="dxa"/>
          </w:tcPr>
          <w:p w:rsidR="00ED3C61" w:rsidRPr="002561D6" w:rsidRDefault="00ED3C61" w:rsidP="002561D6">
            <w:pPr>
              <w:spacing w:after="0" w:line="240" w:lineRule="auto"/>
              <w:jc w:val="center"/>
            </w:pPr>
            <w:r w:rsidRPr="002561D6">
              <w:t>105</w:t>
            </w:r>
          </w:p>
        </w:tc>
      </w:tr>
      <w:tr w:rsidR="00ED3C61" w:rsidRPr="002561D6" w:rsidTr="002561D6">
        <w:trPr>
          <w:trHeight w:val="287"/>
        </w:trPr>
        <w:tc>
          <w:tcPr>
            <w:tcW w:w="2988" w:type="dxa"/>
          </w:tcPr>
          <w:p w:rsidR="00ED3C61" w:rsidRPr="002561D6" w:rsidRDefault="00ED3C61" w:rsidP="002561D6">
            <w:pPr>
              <w:spacing w:after="0" w:line="240" w:lineRule="auto"/>
            </w:pPr>
            <w:r w:rsidRPr="002561D6">
              <w:t xml:space="preserve">     River/Stream Restoration</w:t>
            </w:r>
          </w:p>
        </w:tc>
        <w:tc>
          <w:tcPr>
            <w:tcW w:w="2250" w:type="dxa"/>
          </w:tcPr>
          <w:p w:rsidR="00ED3C61" w:rsidRPr="002561D6" w:rsidRDefault="00ED3C61" w:rsidP="002561D6">
            <w:pPr>
              <w:spacing w:after="0" w:line="240" w:lineRule="auto"/>
              <w:jc w:val="center"/>
            </w:pPr>
            <w:r w:rsidRPr="002561D6">
              <w:t>66</w:t>
            </w:r>
          </w:p>
        </w:tc>
        <w:tc>
          <w:tcPr>
            <w:tcW w:w="2160" w:type="dxa"/>
          </w:tcPr>
          <w:p w:rsidR="00ED3C61" w:rsidRPr="002561D6" w:rsidRDefault="00ED3C61" w:rsidP="002561D6">
            <w:pPr>
              <w:spacing w:after="0" w:line="240" w:lineRule="auto"/>
              <w:jc w:val="center"/>
            </w:pPr>
            <w:r w:rsidRPr="002561D6">
              <w:t>6</w:t>
            </w:r>
          </w:p>
        </w:tc>
        <w:tc>
          <w:tcPr>
            <w:tcW w:w="2178" w:type="dxa"/>
          </w:tcPr>
          <w:p w:rsidR="00ED3C61" w:rsidRPr="002561D6" w:rsidRDefault="00ED3C61" w:rsidP="002561D6">
            <w:pPr>
              <w:spacing w:after="0" w:line="240" w:lineRule="auto"/>
              <w:jc w:val="center"/>
            </w:pPr>
            <w:r w:rsidRPr="002561D6">
              <w:t>72</w:t>
            </w:r>
          </w:p>
        </w:tc>
      </w:tr>
      <w:tr w:rsidR="00ED3C61" w:rsidRPr="002561D6" w:rsidTr="002561D6">
        <w:trPr>
          <w:trHeight w:val="287"/>
        </w:trPr>
        <w:tc>
          <w:tcPr>
            <w:tcW w:w="2988" w:type="dxa"/>
          </w:tcPr>
          <w:p w:rsidR="00ED3C61" w:rsidRPr="002561D6" w:rsidRDefault="00ED3C61" w:rsidP="002561D6">
            <w:pPr>
              <w:spacing w:after="0" w:line="240" w:lineRule="auto"/>
            </w:pPr>
            <w:r w:rsidRPr="002561D6">
              <w:t xml:space="preserve">     Education</w:t>
            </w:r>
          </w:p>
        </w:tc>
        <w:tc>
          <w:tcPr>
            <w:tcW w:w="2250" w:type="dxa"/>
          </w:tcPr>
          <w:p w:rsidR="00ED3C61" w:rsidRPr="002561D6" w:rsidRDefault="00ED3C61" w:rsidP="002561D6">
            <w:pPr>
              <w:spacing w:after="0" w:line="240" w:lineRule="auto"/>
              <w:jc w:val="center"/>
            </w:pPr>
            <w:r w:rsidRPr="002561D6">
              <w:t>56</w:t>
            </w:r>
          </w:p>
        </w:tc>
        <w:tc>
          <w:tcPr>
            <w:tcW w:w="2160" w:type="dxa"/>
          </w:tcPr>
          <w:p w:rsidR="00ED3C61" w:rsidRPr="002561D6" w:rsidRDefault="00ED3C61" w:rsidP="002561D6">
            <w:pPr>
              <w:spacing w:after="0" w:line="240" w:lineRule="auto"/>
              <w:jc w:val="center"/>
            </w:pPr>
            <w:r w:rsidRPr="002561D6">
              <w:t xml:space="preserve">34 </w:t>
            </w:r>
          </w:p>
        </w:tc>
        <w:tc>
          <w:tcPr>
            <w:tcW w:w="2178" w:type="dxa"/>
          </w:tcPr>
          <w:p w:rsidR="00ED3C61" w:rsidRPr="002561D6" w:rsidRDefault="00ED3C61" w:rsidP="002561D6">
            <w:pPr>
              <w:spacing w:after="0" w:line="240" w:lineRule="auto"/>
              <w:jc w:val="center"/>
            </w:pPr>
            <w:r w:rsidRPr="002561D6">
              <w:t>90</w:t>
            </w:r>
          </w:p>
        </w:tc>
      </w:tr>
      <w:tr w:rsidR="00ED3C61" w:rsidRPr="002561D6" w:rsidTr="002561D6">
        <w:trPr>
          <w:trHeight w:val="287"/>
        </w:trPr>
        <w:tc>
          <w:tcPr>
            <w:tcW w:w="2988" w:type="dxa"/>
          </w:tcPr>
          <w:p w:rsidR="00ED3C61" w:rsidRPr="002561D6" w:rsidRDefault="00ED3C61" w:rsidP="002561D6">
            <w:pPr>
              <w:spacing w:after="0" w:line="240" w:lineRule="auto"/>
            </w:pPr>
            <w:r w:rsidRPr="002561D6">
              <w:t xml:space="preserve">     Research</w:t>
            </w:r>
          </w:p>
        </w:tc>
        <w:tc>
          <w:tcPr>
            <w:tcW w:w="2250" w:type="dxa"/>
          </w:tcPr>
          <w:p w:rsidR="00ED3C61" w:rsidRPr="002561D6" w:rsidRDefault="00ED3C61" w:rsidP="002561D6">
            <w:pPr>
              <w:spacing w:after="0" w:line="240" w:lineRule="auto"/>
              <w:jc w:val="center"/>
            </w:pPr>
            <w:r w:rsidRPr="002561D6">
              <w:t>17</w:t>
            </w:r>
          </w:p>
        </w:tc>
        <w:tc>
          <w:tcPr>
            <w:tcW w:w="2160" w:type="dxa"/>
          </w:tcPr>
          <w:p w:rsidR="00ED3C61" w:rsidRPr="002561D6" w:rsidRDefault="00ED3C61" w:rsidP="002561D6">
            <w:pPr>
              <w:spacing w:after="0" w:line="240" w:lineRule="auto"/>
              <w:jc w:val="center"/>
            </w:pPr>
            <w:r w:rsidRPr="002561D6">
              <w:t>13</w:t>
            </w:r>
          </w:p>
        </w:tc>
        <w:tc>
          <w:tcPr>
            <w:tcW w:w="2178" w:type="dxa"/>
          </w:tcPr>
          <w:p w:rsidR="00ED3C61" w:rsidRPr="002561D6" w:rsidRDefault="00ED3C61" w:rsidP="002561D6">
            <w:pPr>
              <w:spacing w:after="0" w:line="240" w:lineRule="auto"/>
              <w:jc w:val="center"/>
            </w:pPr>
            <w:r w:rsidRPr="002561D6">
              <w:t>30</w:t>
            </w:r>
          </w:p>
        </w:tc>
      </w:tr>
      <w:tr w:rsidR="00ED3C61" w:rsidRPr="002561D6" w:rsidTr="002561D6">
        <w:trPr>
          <w:trHeight w:val="287"/>
        </w:trPr>
        <w:tc>
          <w:tcPr>
            <w:tcW w:w="2988" w:type="dxa"/>
          </w:tcPr>
          <w:p w:rsidR="00ED3C61" w:rsidRPr="002561D6" w:rsidRDefault="00ED3C61" w:rsidP="002561D6">
            <w:pPr>
              <w:spacing w:after="0" w:line="240" w:lineRule="auto"/>
            </w:pPr>
            <w:r w:rsidRPr="002561D6">
              <w:t xml:space="preserve">     Species Protection</w:t>
            </w:r>
          </w:p>
        </w:tc>
        <w:tc>
          <w:tcPr>
            <w:tcW w:w="2250" w:type="dxa"/>
          </w:tcPr>
          <w:p w:rsidR="00ED3C61" w:rsidRPr="002561D6" w:rsidRDefault="00ED3C61" w:rsidP="002561D6">
            <w:pPr>
              <w:spacing w:after="0" w:line="240" w:lineRule="auto"/>
              <w:jc w:val="center"/>
            </w:pPr>
            <w:r w:rsidRPr="002561D6">
              <w:t>5</w:t>
            </w:r>
          </w:p>
        </w:tc>
        <w:tc>
          <w:tcPr>
            <w:tcW w:w="2160" w:type="dxa"/>
          </w:tcPr>
          <w:p w:rsidR="00ED3C61" w:rsidRPr="002561D6" w:rsidRDefault="00ED3C61" w:rsidP="002561D6">
            <w:pPr>
              <w:spacing w:after="0" w:line="240" w:lineRule="auto"/>
              <w:jc w:val="center"/>
            </w:pPr>
            <w:r w:rsidRPr="002561D6">
              <w:t>6</w:t>
            </w:r>
          </w:p>
        </w:tc>
        <w:tc>
          <w:tcPr>
            <w:tcW w:w="2178" w:type="dxa"/>
          </w:tcPr>
          <w:p w:rsidR="00ED3C61" w:rsidRPr="002561D6" w:rsidRDefault="00ED3C61" w:rsidP="002561D6">
            <w:pPr>
              <w:spacing w:after="0" w:line="240" w:lineRule="auto"/>
              <w:jc w:val="center"/>
            </w:pPr>
            <w:r w:rsidRPr="002561D6">
              <w:t>11</w:t>
            </w:r>
          </w:p>
        </w:tc>
      </w:tr>
      <w:tr w:rsidR="00ED3C61" w:rsidRPr="002561D6" w:rsidTr="002561D6">
        <w:trPr>
          <w:trHeight w:val="287"/>
        </w:trPr>
        <w:tc>
          <w:tcPr>
            <w:tcW w:w="2988" w:type="dxa"/>
          </w:tcPr>
          <w:p w:rsidR="00ED3C61" w:rsidRPr="002561D6" w:rsidRDefault="00ED3C61" w:rsidP="002561D6">
            <w:pPr>
              <w:spacing w:after="0" w:line="240" w:lineRule="auto"/>
            </w:pPr>
            <w:r w:rsidRPr="002561D6">
              <w:t>Total Projects Cost</w:t>
            </w:r>
          </w:p>
        </w:tc>
        <w:tc>
          <w:tcPr>
            <w:tcW w:w="2250" w:type="dxa"/>
          </w:tcPr>
          <w:p w:rsidR="00ED3C61" w:rsidRPr="002561D6" w:rsidRDefault="00ED3C61" w:rsidP="002561D6">
            <w:pPr>
              <w:spacing w:after="0" w:line="240" w:lineRule="auto"/>
              <w:jc w:val="center"/>
            </w:pPr>
            <w:r w:rsidRPr="002561D6">
              <w:t>$115,918,000</w:t>
            </w:r>
          </w:p>
        </w:tc>
        <w:tc>
          <w:tcPr>
            <w:tcW w:w="2160" w:type="dxa"/>
          </w:tcPr>
          <w:p w:rsidR="00ED3C61" w:rsidRPr="002561D6" w:rsidRDefault="00ED3C61" w:rsidP="002561D6">
            <w:pPr>
              <w:spacing w:after="0" w:line="240" w:lineRule="auto"/>
              <w:jc w:val="center"/>
            </w:pPr>
            <w:r w:rsidRPr="002561D6">
              <w:t>$3,729,000</w:t>
            </w:r>
          </w:p>
        </w:tc>
        <w:tc>
          <w:tcPr>
            <w:tcW w:w="2178" w:type="dxa"/>
          </w:tcPr>
          <w:p w:rsidR="00ED3C61" w:rsidRPr="002561D6" w:rsidRDefault="00ED3C61" w:rsidP="002561D6">
            <w:pPr>
              <w:spacing w:after="0" w:line="240" w:lineRule="auto"/>
              <w:jc w:val="center"/>
            </w:pPr>
            <w:r w:rsidRPr="002561D6">
              <w:t>$119,647,000</w:t>
            </w:r>
          </w:p>
        </w:tc>
      </w:tr>
      <w:tr w:rsidR="00ED3C61" w:rsidRPr="002561D6" w:rsidTr="002561D6">
        <w:tc>
          <w:tcPr>
            <w:tcW w:w="2988" w:type="dxa"/>
          </w:tcPr>
          <w:p w:rsidR="00ED3C61" w:rsidRPr="002561D6" w:rsidRDefault="00ED3C61" w:rsidP="002561D6">
            <w:pPr>
              <w:spacing w:after="0" w:line="240" w:lineRule="auto"/>
            </w:pPr>
            <w:r w:rsidRPr="002561D6">
              <w:t>Total CWRP Investment</w:t>
            </w:r>
          </w:p>
        </w:tc>
        <w:tc>
          <w:tcPr>
            <w:tcW w:w="2250" w:type="dxa"/>
          </w:tcPr>
          <w:p w:rsidR="00ED3C61" w:rsidRPr="002561D6" w:rsidRDefault="00ED3C61" w:rsidP="002561D6">
            <w:pPr>
              <w:spacing w:after="0" w:line="240" w:lineRule="auto"/>
              <w:jc w:val="center"/>
            </w:pPr>
            <w:r w:rsidRPr="002561D6">
              <w:t>$3,666,000</w:t>
            </w:r>
          </w:p>
        </w:tc>
        <w:tc>
          <w:tcPr>
            <w:tcW w:w="2160" w:type="dxa"/>
          </w:tcPr>
          <w:p w:rsidR="00ED3C61" w:rsidRPr="002561D6" w:rsidRDefault="00ED3C61" w:rsidP="002561D6">
            <w:pPr>
              <w:spacing w:after="0" w:line="240" w:lineRule="auto"/>
              <w:jc w:val="center"/>
            </w:pPr>
            <w:r w:rsidRPr="002561D6">
              <w:t>$1,276,000 (2)</w:t>
            </w:r>
          </w:p>
        </w:tc>
        <w:tc>
          <w:tcPr>
            <w:tcW w:w="2178" w:type="dxa"/>
          </w:tcPr>
          <w:p w:rsidR="00ED3C61" w:rsidRPr="002561D6" w:rsidRDefault="00ED3C61" w:rsidP="002561D6">
            <w:pPr>
              <w:spacing w:after="0" w:line="240" w:lineRule="auto"/>
              <w:jc w:val="center"/>
            </w:pPr>
            <w:r w:rsidRPr="002561D6">
              <w:t>$4,942,000 (2)</w:t>
            </w:r>
          </w:p>
        </w:tc>
      </w:tr>
      <w:tr w:rsidR="00ED3C61" w:rsidRPr="002561D6" w:rsidTr="002561D6">
        <w:tc>
          <w:tcPr>
            <w:tcW w:w="2988" w:type="dxa"/>
          </w:tcPr>
          <w:p w:rsidR="00ED3C61" w:rsidRPr="002561D6" w:rsidRDefault="00ED3C61" w:rsidP="002561D6">
            <w:pPr>
              <w:spacing w:after="0" w:line="240" w:lineRule="auto"/>
            </w:pPr>
            <w:r w:rsidRPr="002561D6">
              <w:t xml:space="preserve">     CWRP Cash Investment</w:t>
            </w:r>
          </w:p>
        </w:tc>
        <w:tc>
          <w:tcPr>
            <w:tcW w:w="2250" w:type="dxa"/>
          </w:tcPr>
          <w:p w:rsidR="00ED3C61" w:rsidRPr="002561D6" w:rsidRDefault="00ED3C61" w:rsidP="002561D6">
            <w:pPr>
              <w:spacing w:after="0" w:line="240" w:lineRule="auto"/>
              <w:jc w:val="center"/>
            </w:pPr>
            <w:r w:rsidRPr="002561D6">
              <w:t>$2,238,000</w:t>
            </w:r>
          </w:p>
        </w:tc>
        <w:tc>
          <w:tcPr>
            <w:tcW w:w="2160" w:type="dxa"/>
          </w:tcPr>
          <w:p w:rsidR="00ED3C61" w:rsidRPr="002561D6" w:rsidRDefault="00ED3C61" w:rsidP="002561D6">
            <w:pPr>
              <w:spacing w:after="0" w:line="240" w:lineRule="auto"/>
              <w:jc w:val="center"/>
            </w:pPr>
            <w:r w:rsidRPr="002561D6">
              <w:t xml:space="preserve">$1,248,000 </w:t>
            </w:r>
          </w:p>
        </w:tc>
        <w:tc>
          <w:tcPr>
            <w:tcW w:w="2178" w:type="dxa"/>
          </w:tcPr>
          <w:p w:rsidR="00ED3C61" w:rsidRPr="002561D6" w:rsidRDefault="00ED3C61" w:rsidP="002561D6">
            <w:pPr>
              <w:spacing w:after="0" w:line="240" w:lineRule="auto"/>
              <w:jc w:val="center"/>
            </w:pPr>
            <w:r w:rsidRPr="002561D6">
              <w:t xml:space="preserve">$3,486,000 </w:t>
            </w:r>
          </w:p>
        </w:tc>
      </w:tr>
      <w:tr w:rsidR="00ED3C61" w:rsidRPr="002561D6" w:rsidTr="002561D6">
        <w:tc>
          <w:tcPr>
            <w:tcW w:w="2988" w:type="dxa"/>
          </w:tcPr>
          <w:p w:rsidR="00ED3C61" w:rsidRPr="002561D6" w:rsidRDefault="00ED3C61" w:rsidP="002561D6">
            <w:pPr>
              <w:spacing w:after="0" w:line="240" w:lineRule="auto"/>
            </w:pPr>
            <w:r w:rsidRPr="002561D6">
              <w:t xml:space="preserve">     CWRP In-kind Investment</w:t>
            </w:r>
          </w:p>
        </w:tc>
        <w:tc>
          <w:tcPr>
            <w:tcW w:w="2250" w:type="dxa"/>
          </w:tcPr>
          <w:p w:rsidR="00ED3C61" w:rsidRPr="002561D6" w:rsidRDefault="00ED3C61" w:rsidP="002561D6">
            <w:pPr>
              <w:spacing w:after="0" w:line="240" w:lineRule="auto"/>
              <w:jc w:val="center"/>
            </w:pPr>
            <w:r w:rsidRPr="002561D6">
              <w:t>$1,428,000</w:t>
            </w:r>
          </w:p>
        </w:tc>
        <w:tc>
          <w:tcPr>
            <w:tcW w:w="2160" w:type="dxa"/>
          </w:tcPr>
          <w:p w:rsidR="00ED3C61" w:rsidRPr="002561D6" w:rsidRDefault="00ED3C61" w:rsidP="002561D6">
            <w:pPr>
              <w:spacing w:after="0" w:line="240" w:lineRule="auto"/>
              <w:jc w:val="center"/>
            </w:pPr>
            <w:r w:rsidRPr="002561D6">
              <w:t>$28,000</w:t>
            </w:r>
          </w:p>
        </w:tc>
        <w:tc>
          <w:tcPr>
            <w:tcW w:w="2178" w:type="dxa"/>
          </w:tcPr>
          <w:p w:rsidR="00ED3C61" w:rsidRPr="002561D6" w:rsidRDefault="00ED3C61" w:rsidP="002561D6">
            <w:pPr>
              <w:spacing w:after="0" w:line="240" w:lineRule="auto"/>
              <w:jc w:val="center"/>
            </w:pPr>
            <w:r w:rsidRPr="002561D6">
              <w:t>$1,456,000</w:t>
            </w:r>
          </w:p>
        </w:tc>
      </w:tr>
      <w:tr w:rsidR="00ED3C61" w:rsidRPr="002561D6" w:rsidTr="002561D6">
        <w:tc>
          <w:tcPr>
            <w:tcW w:w="2988" w:type="dxa"/>
          </w:tcPr>
          <w:p w:rsidR="00ED3C61" w:rsidRPr="002561D6" w:rsidRDefault="00ED3C61" w:rsidP="002561D6">
            <w:pPr>
              <w:spacing w:after="0" w:line="240" w:lineRule="auto"/>
            </w:pPr>
            <w:r w:rsidRPr="002561D6">
              <w:t>Acres Restored/Protected</w:t>
            </w:r>
          </w:p>
        </w:tc>
        <w:tc>
          <w:tcPr>
            <w:tcW w:w="2250" w:type="dxa"/>
          </w:tcPr>
          <w:p w:rsidR="00ED3C61" w:rsidRPr="002561D6" w:rsidRDefault="00ED3C61" w:rsidP="002561D6">
            <w:pPr>
              <w:spacing w:after="0" w:line="240" w:lineRule="auto"/>
              <w:jc w:val="center"/>
            </w:pPr>
            <w:r w:rsidRPr="002561D6">
              <w:t>44,069</w:t>
            </w:r>
          </w:p>
        </w:tc>
        <w:tc>
          <w:tcPr>
            <w:tcW w:w="2160" w:type="dxa"/>
          </w:tcPr>
          <w:p w:rsidR="00ED3C61" w:rsidRPr="002561D6" w:rsidRDefault="00ED3C61" w:rsidP="002561D6">
            <w:pPr>
              <w:spacing w:after="0" w:line="240" w:lineRule="auto"/>
              <w:jc w:val="center"/>
            </w:pPr>
            <w:r w:rsidRPr="002561D6">
              <w:t>20,687</w:t>
            </w:r>
          </w:p>
        </w:tc>
        <w:tc>
          <w:tcPr>
            <w:tcW w:w="2178" w:type="dxa"/>
          </w:tcPr>
          <w:p w:rsidR="00ED3C61" w:rsidRPr="002561D6" w:rsidRDefault="00ED3C61" w:rsidP="002561D6">
            <w:pPr>
              <w:spacing w:after="0" w:line="240" w:lineRule="auto"/>
              <w:jc w:val="center"/>
            </w:pPr>
            <w:r w:rsidRPr="002561D6">
              <w:t>64,756</w:t>
            </w:r>
          </w:p>
        </w:tc>
      </w:tr>
      <w:tr w:rsidR="00ED3C61" w:rsidRPr="002561D6" w:rsidTr="002561D6">
        <w:tc>
          <w:tcPr>
            <w:tcW w:w="2988" w:type="dxa"/>
          </w:tcPr>
          <w:p w:rsidR="00ED3C61" w:rsidRPr="002561D6" w:rsidRDefault="00ED3C61" w:rsidP="002561D6">
            <w:pPr>
              <w:spacing w:after="0" w:line="240" w:lineRule="auto"/>
            </w:pPr>
            <w:r w:rsidRPr="002561D6">
              <w:t>Stream Miles Restored/Protected</w:t>
            </w:r>
          </w:p>
        </w:tc>
        <w:tc>
          <w:tcPr>
            <w:tcW w:w="2250" w:type="dxa"/>
            <w:vAlign w:val="center"/>
          </w:tcPr>
          <w:p w:rsidR="00ED3C61" w:rsidRPr="002561D6" w:rsidRDefault="00ED3C61" w:rsidP="002561D6">
            <w:pPr>
              <w:spacing w:after="0" w:line="240" w:lineRule="auto"/>
              <w:jc w:val="center"/>
            </w:pPr>
            <w:r w:rsidRPr="002561D6">
              <w:t>976</w:t>
            </w:r>
          </w:p>
        </w:tc>
        <w:tc>
          <w:tcPr>
            <w:tcW w:w="2160" w:type="dxa"/>
            <w:vAlign w:val="center"/>
          </w:tcPr>
          <w:p w:rsidR="00ED3C61" w:rsidRPr="002561D6" w:rsidRDefault="00ED3C61" w:rsidP="002561D6">
            <w:pPr>
              <w:spacing w:after="0" w:line="240" w:lineRule="auto"/>
              <w:jc w:val="center"/>
            </w:pPr>
            <w:r w:rsidRPr="002561D6">
              <w:t>93</w:t>
            </w:r>
          </w:p>
        </w:tc>
        <w:tc>
          <w:tcPr>
            <w:tcW w:w="2178" w:type="dxa"/>
            <w:vAlign w:val="center"/>
          </w:tcPr>
          <w:p w:rsidR="00ED3C61" w:rsidRPr="002561D6" w:rsidRDefault="00ED3C61" w:rsidP="002561D6">
            <w:pPr>
              <w:spacing w:after="0" w:line="240" w:lineRule="auto"/>
              <w:jc w:val="center"/>
            </w:pPr>
            <w:r w:rsidRPr="002561D6">
              <w:t>1,069</w:t>
            </w:r>
          </w:p>
        </w:tc>
      </w:tr>
      <w:tr w:rsidR="00ED3C61" w:rsidRPr="002561D6" w:rsidTr="002561D6">
        <w:tc>
          <w:tcPr>
            <w:tcW w:w="2988" w:type="dxa"/>
          </w:tcPr>
          <w:p w:rsidR="00ED3C61" w:rsidRPr="002561D6" w:rsidRDefault="00ED3C61" w:rsidP="002561D6">
            <w:pPr>
              <w:spacing w:after="0" w:line="240" w:lineRule="auto"/>
            </w:pPr>
            <w:r w:rsidRPr="002561D6">
              <w:t>Students&amp; Teachers Educated</w:t>
            </w:r>
          </w:p>
        </w:tc>
        <w:tc>
          <w:tcPr>
            <w:tcW w:w="2250" w:type="dxa"/>
            <w:vAlign w:val="center"/>
          </w:tcPr>
          <w:p w:rsidR="00ED3C61" w:rsidRPr="002561D6" w:rsidRDefault="00ED3C61" w:rsidP="002561D6">
            <w:pPr>
              <w:spacing w:after="0" w:line="240" w:lineRule="auto"/>
              <w:jc w:val="center"/>
            </w:pPr>
            <w:r w:rsidRPr="002561D6">
              <w:t>2,588</w:t>
            </w:r>
          </w:p>
        </w:tc>
        <w:tc>
          <w:tcPr>
            <w:tcW w:w="2160" w:type="dxa"/>
            <w:vAlign w:val="center"/>
          </w:tcPr>
          <w:p w:rsidR="00ED3C61" w:rsidRPr="002561D6" w:rsidRDefault="00ED3C61" w:rsidP="002561D6">
            <w:pPr>
              <w:spacing w:after="0" w:line="240" w:lineRule="auto"/>
              <w:jc w:val="center"/>
            </w:pPr>
            <w:r w:rsidRPr="002561D6">
              <w:t>510</w:t>
            </w:r>
          </w:p>
        </w:tc>
        <w:tc>
          <w:tcPr>
            <w:tcW w:w="2178" w:type="dxa"/>
            <w:vAlign w:val="center"/>
          </w:tcPr>
          <w:p w:rsidR="00ED3C61" w:rsidRPr="002561D6" w:rsidRDefault="00ED3C61" w:rsidP="002561D6">
            <w:pPr>
              <w:spacing w:after="0" w:line="240" w:lineRule="auto"/>
              <w:jc w:val="center"/>
            </w:pPr>
            <w:r w:rsidRPr="002561D6">
              <w:t>3,098</w:t>
            </w:r>
          </w:p>
        </w:tc>
      </w:tr>
      <w:tr w:rsidR="00ED3C61" w:rsidRPr="002561D6" w:rsidTr="002561D6">
        <w:tc>
          <w:tcPr>
            <w:tcW w:w="2988" w:type="dxa"/>
          </w:tcPr>
          <w:p w:rsidR="00ED3C61" w:rsidRPr="002561D6" w:rsidRDefault="00ED3C61" w:rsidP="002561D6">
            <w:pPr>
              <w:spacing w:after="0" w:line="240" w:lineRule="auto"/>
            </w:pPr>
            <w:r w:rsidRPr="002561D6">
              <w:t>Project Volunteers</w:t>
            </w:r>
          </w:p>
        </w:tc>
        <w:tc>
          <w:tcPr>
            <w:tcW w:w="2250" w:type="dxa"/>
            <w:vAlign w:val="center"/>
          </w:tcPr>
          <w:p w:rsidR="00ED3C61" w:rsidRPr="002561D6" w:rsidRDefault="00ED3C61" w:rsidP="002561D6">
            <w:pPr>
              <w:spacing w:after="0" w:line="240" w:lineRule="auto"/>
              <w:jc w:val="center"/>
            </w:pPr>
            <w:r w:rsidRPr="002561D6">
              <w:t>810</w:t>
            </w:r>
          </w:p>
        </w:tc>
        <w:tc>
          <w:tcPr>
            <w:tcW w:w="2160" w:type="dxa"/>
            <w:vAlign w:val="center"/>
          </w:tcPr>
          <w:p w:rsidR="00ED3C61" w:rsidRPr="002561D6" w:rsidRDefault="00ED3C61" w:rsidP="002561D6">
            <w:pPr>
              <w:spacing w:after="0" w:line="240" w:lineRule="auto"/>
              <w:jc w:val="center"/>
            </w:pPr>
            <w:r w:rsidRPr="002561D6">
              <w:t>-</w:t>
            </w:r>
          </w:p>
        </w:tc>
        <w:tc>
          <w:tcPr>
            <w:tcW w:w="2178" w:type="dxa"/>
            <w:vAlign w:val="center"/>
          </w:tcPr>
          <w:p w:rsidR="00ED3C61" w:rsidRPr="002561D6" w:rsidRDefault="00ED3C61" w:rsidP="002561D6">
            <w:pPr>
              <w:spacing w:after="0" w:line="240" w:lineRule="auto"/>
              <w:jc w:val="center"/>
            </w:pPr>
            <w:r w:rsidRPr="002561D6">
              <w:t>810</w:t>
            </w:r>
          </w:p>
        </w:tc>
      </w:tr>
      <w:tr w:rsidR="00ED3C61" w:rsidRPr="002561D6" w:rsidTr="002561D6">
        <w:tc>
          <w:tcPr>
            <w:tcW w:w="2988" w:type="dxa"/>
          </w:tcPr>
          <w:p w:rsidR="00ED3C61" w:rsidRPr="002561D6" w:rsidRDefault="00ED3C61" w:rsidP="002561D6">
            <w:pPr>
              <w:spacing w:after="0" w:line="240" w:lineRule="auto"/>
            </w:pPr>
            <w:r w:rsidRPr="002561D6">
              <w:t>Volunteer Partnership Management Hours</w:t>
            </w:r>
          </w:p>
        </w:tc>
        <w:tc>
          <w:tcPr>
            <w:tcW w:w="2250" w:type="dxa"/>
            <w:vAlign w:val="center"/>
          </w:tcPr>
          <w:p w:rsidR="00ED3C61" w:rsidRPr="002561D6" w:rsidRDefault="00ED3C61" w:rsidP="002561D6">
            <w:pPr>
              <w:spacing w:after="0" w:line="240" w:lineRule="auto"/>
              <w:jc w:val="center"/>
            </w:pPr>
            <w:r w:rsidRPr="002561D6">
              <w:t>11,420</w:t>
            </w:r>
          </w:p>
        </w:tc>
        <w:tc>
          <w:tcPr>
            <w:tcW w:w="2160" w:type="dxa"/>
            <w:vAlign w:val="center"/>
          </w:tcPr>
          <w:p w:rsidR="00ED3C61" w:rsidRPr="002561D6" w:rsidRDefault="00ED3C61" w:rsidP="002561D6">
            <w:pPr>
              <w:spacing w:after="0" w:line="240" w:lineRule="auto"/>
              <w:jc w:val="center"/>
            </w:pPr>
            <w:r w:rsidRPr="002561D6">
              <w:t>6,616</w:t>
            </w:r>
          </w:p>
        </w:tc>
        <w:tc>
          <w:tcPr>
            <w:tcW w:w="2178" w:type="dxa"/>
            <w:vAlign w:val="center"/>
          </w:tcPr>
          <w:p w:rsidR="00ED3C61" w:rsidRPr="002561D6" w:rsidRDefault="00ED3C61" w:rsidP="002561D6">
            <w:pPr>
              <w:spacing w:after="0" w:line="240" w:lineRule="auto"/>
              <w:jc w:val="center"/>
            </w:pPr>
            <w:r w:rsidRPr="002561D6">
              <w:t>18,036</w:t>
            </w:r>
          </w:p>
        </w:tc>
      </w:tr>
    </w:tbl>
    <w:p w:rsidR="00ED3C61" w:rsidRDefault="00ED3C61" w:rsidP="00C46F1F">
      <w:pPr>
        <w:pStyle w:val="ListParagraph"/>
        <w:numPr>
          <w:ilvl w:val="0"/>
          <w:numId w:val="1"/>
        </w:numPr>
      </w:pPr>
      <w:r>
        <w:t>Includes 22 Education &amp; Outreach projects not captured in 10 Year Report</w:t>
      </w:r>
    </w:p>
    <w:p w:rsidR="00ED3C61" w:rsidRDefault="00ED3C61" w:rsidP="00C46F1F">
      <w:pPr>
        <w:pStyle w:val="ListParagraph"/>
        <w:numPr>
          <w:ilvl w:val="0"/>
          <w:numId w:val="1"/>
        </w:numPr>
      </w:pPr>
      <w:r>
        <w:t>Includes $689,640 spent on Education &amp; Outreach not captured in 10 Year Report</w:t>
      </w:r>
    </w:p>
    <w:p w:rsidR="00ED3C61" w:rsidRDefault="00ED3C61" w:rsidP="00540BC3"/>
    <w:p w:rsidR="00ED3C61" w:rsidRDefault="00ED3C61" w:rsidP="00540BC3"/>
    <w:p w:rsidR="00ED3C61" w:rsidRDefault="00ED3C61" w:rsidP="00540BC3"/>
    <w:p w:rsidR="00ED3C61" w:rsidRDefault="00ED3C61" w:rsidP="00540BC3"/>
    <w:p w:rsidR="00ED3C61" w:rsidRPr="00540BC3" w:rsidRDefault="00ED3C61" w:rsidP="00540BC3">
      <w:pPr>
        <w:jc w:val="center"/>
        <w:rPr>
          <w:b/>
          <w:sz w:val="28"/>
          <w:szCs w:val="28"/>
        </w:rPr>
      </w:pPr>
      <w:r w:rsidRPr="00540BC3">
        <w:rPr>
          <w:b/>
          <w:sz w:val="28"/>
          <w:szCs w:val="28"/>
        </w:rPr>
        <w:t>CWRP Project Types</w:t>
      </w:r>
    </w:p>
    <w:p w:rsidR="00ED3C61" w:rsidRDefault="0081537A" w:rsidP="00EC6300">
      <w:r>
        <w:rPr>
          <w:noProof/>
        </w:rPr>
        <mc:AlternateContent>
          <mc:Choice Requires="wps">
            <w:drawing>
              <wp:anchor distT="0" distB="0" distL="114300" distR="114300" simplePos="0" relativeHeight="251658240" behindDoc="0" locked="0" layoutInCell="1" allowOverlap="1">
                <wp:simplePos x="0" y="0"/>
                <wp:positionH relativeFrom="column">
                  <wp:posOffset>3872230</wp:posOffset>
                </wp:positionH>
                <wp:positionV relativeFrom="paragraph">
                  <wp:posOffset>318770</wp:posOffset>
                </wp:positionV>
                <wp:extent cx="1433195" cy="285750"/>
                <wp:effectExtent l="5080" t="13970" r="9525" b="508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195" cy="285750"/>
                        </a:xfrm>
                        <a:prstGeom prst="rect">
                          <a:avLst/>
                        </a:prstGeom>
                        <a:solidFill>
                          <a:srgbClr val="FFFFFF"/>
                        </a:solidFill>
                        <a:ln w="9525">
                          <a:solidFill>
                            <a:srgbClr val="000000"/>
                          </a:solidFill>
                          <a:miter lim="800000"/>
                          <a:headEnd/>
                          <a:tailEnd/>
                        </a:ln>
                      </wps:spPr>
                      <wps:txbx>
                        <w:txbxContent>
                          <w:p w:rsidR="00ED3C61" w:rsidRPr="00540BC3" w:rsidRDefault="00ED3C61">
                            <w:pPr>
                              <w:rPr>
                                <w:b/>
                                <w:sz w:val="24"/>
                                <w:szCs w:val="24"/>
                              </w:rPr>
                            </w:pPr>
                            <w:r w:rsidRPr="00540BC3">
                              <w:rPr>
                                <w:b/>
                                <w:sz w:val="24"/>
                                <w:szCs w:val="24"/>
                              </w:rPr>
                              <w:t>Total Projects=308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4.9pt;margin-top:25.1pt;width:112.8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">
                <v:textbox>
                  <w:txbxContent>
                    <w:p w:rsidR="00ED3C61" w:rsidRPr="00540BC3" w:rsidRDefault="00ED3C61">
                      <w:pPr>
                        <w:rPr>
                          <w:b/>
                          <w:sz w:val="24"/>
                          <w:szCs w:val="24"/>
                        </w:rPr>
                      </w:pPr>
                      <w:r w:rsidRPr="00540BC3">
                        <w:rPr>
                          <w:b/>
                          <w:sz w:val="24"/>
                          <w:szCs w:val="24"/>
                        </w:rPr>
                        <w:t>Total Projects=308</w:t>
                      </w:r>
                    </w:p>
                  </w:txbxContent>
                </v:textbox>
              </v:shape>
            </w:pict>
          </mc:Fallback>
        </mc:AlternateContent>
      </w:r>
      <w:r>
        <w:rPr>
          <w:noProof/>
        </w:rPr>
        <w:drawing>
          <wp:inline distT="0" distB="0" distL="0" distR="0">
            <wp:extent cx="5505450" cy="3209925"/>
            <wp:effectExtent l="0" t="0" r="0" b="0"/>
            <wp:docPr id="3"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D3C61" w:rsidRDefault="00ED3C61" w:rsidP="00EC6300"/>
    <w:p w:rsidR="00ED3C61" w:rsidRDefault="0081537A" w:rsidP="00EC6300">
      <w:r>
        <w:rPr>
          <w:noProof/>
        </w:rPr>
        <w:drawing>
          <wp:inline distT="0" distB="0" distL="0" distR="0">
            <wp:extent cx="5505450" cy="3209925"/>
            <wp:effectExtent l="0" t="0" r="0" b="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D3C61" w:rsidRDefault="00ED3C61" w:rsidP="00EC6300"/>
    <w:sectPr w:rsidR="00ED3C61" w:rsidSect="00180A8B">
      <w:headerReference w:type="even" r:id="rId13"/>
      <w:headerReference w:type="default" r:id="rId14"/>
      <w:footerReference w:type="even" r:id="rId15"/>
      <w:footerReference w:type="default" r:id="rId16"/>
      <w:headerReference w:type="first" r:id="rId17"/>
      <w:footerReference w:type="first" r:id="rId1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0B1" w:rsidRDefault="00D750B1" w:rsidP="007A6550">
      <w:pPr>
        <w:spacing w:after="0" w:line="240" w:lineRule="auto"/>
      </w:pPr>
      <w:r>
        <w:separator/>
      </w:r>
    </w:p>
  </w:endnote>
  <w:endnote w:type="continuationSeparator" w:id="0">
    <w:p w:rsidR="00D750B1" w:rsidRDefault="00D750B1" w:rsidP="007A6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C61" w:rsidRDefault="00ED3C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C61" w:rsidRDefault="00ED3C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C61" w:rsidRDefault="00ED3C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0B1" w:rsidRDefault="00D750B1" w:rsidP="007A6550">
      <w:pPr>
        <w:spacing w:after="0" w:line="240" w:lineRule="auto"/>
      </w:pPr>
      <w:r>
        <w:separator/>
      </w:r>
    </w:p>
  </w:footnote>
  <w:footnote w:type="continuationSeparator" w:id="0">
    <w:p w:rsidR="00D750B1" w:rsidRDefault="00D750B1" w:rsidP="007A65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C61" w:rsidRDefault="00ED3C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C61" w:rsidRDefault="00ED3C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C61" w:rsidRDefault="00ED3C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E202F"/>
    <w:multiLevelType w:val="hybridMultilevel"/>
    <w:tmpl w:val="D91C85D8"/>
    <w:lvl w:ilvl="0" w:tplc="E048B36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55B"/>
    <w:rsid w:val="00052627"/>
    <w:rsid w:val="000562F1"/>
    <w:rsid w:val="00100982"/>
    <w:rsid w:val="00180A8B"/>
    <w:rsid w:val="001D6B9A"/>
    <w:rsid w:val="00240F6C"/>
    <w:rsid w:val="0025386A"/>
    <w:rsid w:val="002561D6"/>
    <w:rsid w:val="003030F4"/>
    <w:rsid w:val="00323A66"/>
    <w:rsid w:val="00354A5C"/>
    <w:rsid w:val="0038646E"/>
    <w:rsid w:val="003A3AE1"/>
    <w:rsid w:val="003A708C"/>
    <w:rsid w:val="003D2697"/>
    <w:rsid w:val="004157AB"/>
    <w:rsid w:val="00492997"/>
    <w:rsid w:val="004E6FFD"/>
    <w:rsid w:val="00540BC3"/>
    <w:rsid w:val="005C5860"/>
    <w:rsid w:val="005E2CFA"/>
    <w:rsid w:val="005F022E"/>
    <w:rsid w:val="006E7012"/>
    <w:rsid w:val="00702CB5"/>
    <w:rsid w:val="00703D61"/>
    <w:rsid w:val="007107D5"/>
    <w:rsid w:val="00722E35"/>
    <w:rsid w:val="00723B18"/>
    <w:rsid w:val="00725471"/>
    <w:rsid w:val="0073020F"/>
    <w:rsid w:val="00734D7B"/>
    <w:rsid w:val="00777355"/>
    <w:rsid w:val="007A6550"/>
    <w:rsid w:val="007B24B6"/>
    <w:rsid w:val="007F2A7E"/>
    <w:rsid w:val="007F5295"/>
    <w:rsid w:val="0080635F"/>
    <w:rsid w:val="0081537A"/>
    <w:rsid w:val="008E40F1"/>
    <w:rsid w:val="00950ED7"/>
    <w:rsid w:val="00977949"/>
    <w:rsid w:val="009C655B"/>
    <w:rsid w:val="00B02C84"/>
    <w:rsid w:val="00B3632A"/>
    <w:rsid w:val="00B61D3C"/>
    <w:rsid w:val="00B71B96"/>
    <w:rsid w:val="00BA014F"/>
    <w:rsid w:val="00BA25EC"/>
    <w:rsid w:val="00BC7652"/>
    <w:rsid w:val="00C46F1F"/>
    <w:rsid w:val="00C66BDD"/>
    <w:rsid w:val="00CB5F58"/>
    <w:rsid w:val="00CC4E66"/>
    <w:rsid w:val="00D37FAA"/>
    <w:rsid w:val="00D614A9"/>
    <w:rsid w:val="00D750B1"/>
    <w:rsid w:val="00DA08F9"/>
    <w:rsid w:val="00E31BD4"/>
    <w:rsid w:val="00E91B2F"/>
    <w:rsid w:val="00EC6300"/>
    <w:rsid w:val="00ED3C61"/>
    <w:rsid w:val="00ED6CD0"/>
    <w:rsid w:val="00F221DF"/>
    <w:rsid w:val="00F53039"/>
    <w:rsid w:val="00FD0397"/>
    <w:rsid w:val="00FD1AD2"/>
    <w:rsid w:val="00FE2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AE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D039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46F1F"/>
    <w:pPr>
      <w:ind w:left="720"/>
      <w:contextualSpacing/>
    </w:pPr>
  </w:style>
  <w:style w:type="paragraph" w:styleId="Header">
    <w:name w:val="header"/>
    <w:basedOn w:val="Normal"/>
    <w:link w:val="HeaderChar"/>
    <w:uiPriority w:val="99"/>
    <w:semiHidden/>
    <w:rsid w:val="007A65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7A6550"/>
    <w:rPr>
      <w:rFonts w:cs="Times New Roman"/>
    </w:rPr>
  </w:style>
  <w:style w:type="paragraph" w:styleId="Footer">
    <w:name w:val="footer"/>
    <w:basedOn w:val="Normal"/>
    <w:link w:val="FooterChar"/>
    <w:uiPriority w:val="99"/>
    <w:semiHidden/>
    <w:rsid w:val="007A655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7A6550"/>
    <w:rPr>
      <w:rFonts w:cs="Times New Roman"/>
    </w:rPr>
  </w:style>
  <w:style w:type="paragraph" w:styleId="BalloonText">
    <w:name w:val="Balloon Text"/>
    <w:basedOn w:val="Normal"/>
    <w:link w:val="BalloonTextChar"/>
    <w:uiPriority w:val="99"/>
    <w:semiHidden/>
    <w:rsid w:val="00EC6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C6300"/>
    <w:rPr>
      <w:rFonts w:ascii="Tahoma" w:hAnsi="Tahoma" w:cs="Tahoma"/>
      <w:sz w:val="16"/>
      <w:szCs w:val="16"/>
    </w:rPr>
  </w:style>
  <w:style w:type="paragraph" w:styleId="Caption">
    <w:name w:val="caption"/>
    <w:basedOn w:val="Normal"/>
    <w:next w:val="Normal"/>
    <w:uiPriority w:val="99"/>
    <w:qFormat/>
    <w:rsid w:val="00702CB5"/>
    <w:pPr>
      <w:spacing w:line="240" w:lineRule="auto"/>
    </w:pPr>
    <w:rPr>
      <w:b/>
      <w:bCs/>
      <w:color w:val="4F81BD"/>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AE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D039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46F1F"/>
    <w:pPr>
      <w:ind w:left="720"/>
      <w:contextualSpacing/>
    </w:pPr>
  </w:style>
  <w:style w:type="paragraph" w:styleId="Header">
    <w:name w:val="header"/>
    <w:basedOn w:val="Normal"/>
    <w:link w:val="HeaderChar"/>
    <w:uiPriority w:val="99"/>
    <w:semiHidden/>
    <w:rsid w:val="007A65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7A6550"/>
    <w:rPr>
      <w:rFonts w:cs="Times New Roman"/>
    </w:rPr>
  </w:style>
  <w:style w:type="paragraph" w:styleId="Footer">
    <w:name w:val="footer"/>
    <w:basedOn w:val="Normal"/>
    <w:link w:val="FooterChar"/>
    <w:uiPriority w:val="99"/>
    <w:semiHidden/>
    <w:rsid w:val="007A655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7A6550"/>
    <w:rPr>
      <w:rFonts w:cs="Times New Roman"/>
    </w:rPr>
  </w:style>
  <w:style w:type="paragraph" w:styleId="BalloonText">
    <w:name w:val="Balloon Text"/>
    <w:basedOn w:val="Normal"/>
    <w:link w:val="BalloonTextChar"/>
    <w:uiPriority w:val="99"/>
    <w:semiHidden/>
    <w:rsid w:val="00EC6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C6300"/>
    <w:rPr>
      <w:rFonts w:ascii="Tahoma" w:hAnsi="Tahoma" w:cs="Tahoma"/>
      <w:sz w:val="16"/>
      <w:szCs w:val="16"/>
    </w:rPr>
  </w:style>
  <w:style w:type="paragraph" w:styleId="Caption">
    <w:name w:val="caption"/>
    <w:basedOn w:val="Normal"/>
    <w:next w:val="Normal"/>
    <w:uiPriority w:val="99"/>
    <w:qFormat/>
    <w:rsid w:val="00702CB5"/>
    <w:pPr>
      <w:spacing w:line="240" w:lineRule="auto"/>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Bill\AppData\Local\Chemistry%20Add-in%20for%20Word\Chemistry%20Gallery\Chem4Word.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1999=2009</c:v>
                </c:pt>
              </c:strCache>
            </c:strRef>
          </c:tx>
          <c:invertIfNegative val="0"/>
          <c:cat>
            <c:strRef>
              <c:f>Sheet1!$A$2:$A$6</c:f>
              <c:strCache>
                <c:ptCount val="5"/>
                <c:pt idx="0">
                  <c:v>Wetlands Restored</c:v>
                </c:pt>
                <c:pt idx="1">
                  <c:v>Rivers/Streams Restored</c:v>
                </c:pt>
                <c:pt idx="2">
                  <c:v>Education</c:v>
                </c:pt>
                <c:pt idx="3">
                  <c:v>Research</c:v>
                </c:pt>
                <c:pt idx="4">
                  <c:v>Species Protected</c:v>
                </c:pt>
              </c:strCache>
            </c:strRef>
          </c:cat>
          <c:val>
            <c:numRef>
              <c:f>Sheet1!$B$2:$B$6</c:f>
              <c:numCache>
                <c:formatCode>General</c:formatCode>
                <c:ptCount val="5"/>
                <c:pt idx="0">
                  <c:v>99</c:v>
                </c:pt>
                <c:pt idx="1">
                  <c:v>66</c:v>
                </c:pt>
                <c:pt idx="2">
                  <c:v>56</c:v>
                </c:pt>
                <c:pt idx="3">
                  <c:v>17</c:v>
                </c:pt>
                <c:pt idx="4">
                  <c:v>5</c:v>
                </c:pt>
              </c:numCache>
            </c:numRef>
          </c:val>
        </c:ser>
        <c:ser>
          <c:idx val="1"/>
          <c:order val="1"/>
          <c:tx>
            <c:strRef>
              <c:f>Sheet1!$C$1</c:f>
              <c:strCache>
                <c:ptCount val="1"/>
                <c:pt idx="0">
                  <c:v>2010-2011</c:v>
                </c:pt>
              </c:strCache>
            </c:strRef>
          </c:tx>
          <c:invertIfNegative val="0"/>
          <c:cat>
            <c:strRef>
              <c:f>Sheet1!$A$2:$A$6</c:f>
              <c:strCache>
                <c:ptCount val="5"/>
                <c:pt idx="0">
                  <c:v>Wetlands Restored</c:v>
                </c:pt>
                <c:pt idx="1">
                  <c:v>Rivers/Streams Restored</c:v>
                </c:pt>
                <c:pt idx="2">
                  <c:v>Education</c:v>
                </c:pt>
                <c:pt idx="3">
                  <c:v>Research</c:v>
                </c:pt>
                <c:pt idx="4">
                  <c:v>Species Protected</c:v>
                </c:pt>
              </c:strCache>
            </c:strRef>
          </c:cat>
          <c:val>
            <c:numRef>
              <c:f>Sheet1!$C$2:$C$6</c:f>
              <c:numCache>
                <c:formatCode>General</c:formatCode>
                <c:ptCount val="5"/>
                <c:pt idx="0">
                  <c:v>6</c:v>
                </c:pt>
                <c:pt idx="1">
                  <c:v>6</c:v>
                </c:pt>
                <c:pt idx="2">
                  <c:v>34</c:v>
                </c:pt>
                <c:pt idx="3">
                  <c:v>13</c:v>
                </c:pt>
                <c:pt idx="4">
                  <c:v>6</c:v>
                </c:pt>
              </c:numCache>
            </c:numRef>
          </c:val>
        </c:ser>
        <c:dLbls>
          <c:showLegendKey val="0"/>
          <c:showVal val="0"/>
          <c:showCatName val="0"/>
          <c:showSerName val="0"/>
          <c:showPercent val="0"/>
          <c:showBubbleSize val="0"/>
        </c:dLbls>
        <c:gapWidth val="150"/>
        <c:shape val="box"/>
        <c:axId val="203264384"/>
        <c:axId val="203265920"/>
        <c:axId val="0"/>
      </c:bar3DChart>
      <c:catAx>
        <c:axId val="203264384"/>
        <c:scaling>
          <c:orientation val="minMax"/>
        </c:scaling>
        <c:delete val="0"/>
        <c:axPos val="b"/>
        <c:numFmt formatCode="General" sourceLinked="1"/>
        <c:majorTickMark val="out"/>
        <c:minorTickMark val="none"/>
        <c:tickLblPos val="nextTo"/>
        <c:crossAx val="203265920"/>
        <c:crosses val="autoZero"/>
        <c:auto val="1"/>
        <c:lblAlgn val="ctr"/>
        <c:lblOffset val="100"/>
        <c:noMultiLvlLbl val="0"/>
      </c:catAx>
      <c:valAx>
        <c:axId val="203265920"/>
        <c:scaling>
          <c:orientation val="minMax"/>
        </c:scaling>
        <c:delete val="0"/>
        <c:axPos val="l"/>
        <c:majorGridlines/>
        <c:numFmt formatCode="General" sourceLinked="1"/>
        <c:majorTickMark val="out"/>
        <c:minorTickMark val="none"/>
        <c:tickLblPos val="nextTo"/>
        <c:crossAx val="203264384"/>
        <c:crosses val="autoZero"/>
        <c:crossBetween val="between"/>
      </c:valAx>
      <c:spPr>
        <a:noFill/>
        <a:ln w="25401">
          <a:noFill/>
        </a:ln>
      </c:spPr>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CWRP Investments and Project Leveraging</a:t>
            </a:r>
          </a:p>
        </c:rich>
      </c:tx>
      <c:overlay val="0"/>
      <c:spPr>
        <a:noFill/>
        <a:ln w="25401">
          <a:noFill/>
        </a:ln>
      </c:spPr>
    </c:title>
    <c:autoTitleDeleted val="0"/>
    <c:view3D>
      <c:rotX val="30"/>
      <c:rotY val="360"/>
      <c:rAngAx val="0"/>
      <c:perspective val="30"/>
    </c:view3D>
    <c:floor>
      <c:thickness val="0"/>
    </c:floor>
    <c:sideWall>
      <c:thickness val="0"/>
    </c:sideWall>
    <c:backWall>
      <c:thickness val="0"/>
    </c:backWall>
    <c:plotArea>
      <c:layout/>
      <c:pie3DChart>
        <c:varyColors val="1"/>
        <c:ser>
          <c:idx val="0"/>
          <c:order val="0"/>
          <c:tx>
            <c:strRef>
              <c:f>Sheet1!$B$1</c:f>
              <c:strCache>
                <c:ptCount val="1"/>
                <c:pt idx="0">
                  <c:v>Column1</c:v>
                </c:pt>
              </c:strCache>
            </c:strRef>
          </c:tx>
          <c:dPt>
            <c:idx val="0"/>
            <c:bubble3D val="0"/>
          </c:dPt>
          <c:dPt>
            <c:idx val="1"/>
            <c:bubble3D val="0"/>
          </c:dPt>
          <c:dPt>
            <c:idx val="2"/>
            <c:bubble3D val="0"/>
          </c:dPt>
          <c:dLbls>
            <c:dLbl>
              <c:idx val="0"/>
              <c:layout>
                <c:manualLayout>
                  <c:x val="-9.9765511081948088E-2"/>
                  <c:y val="-0.31742032245969315"/>
                </c:manualLayout>
              </c:layout>
              <c:tx>
                <c:rich>
                  <a:bodyPr/>
                  <a:lstStyle/>
                  <a:p>
                    <a:pPr>
                      <a:defRPr/>
                    </a:pPr>
                    <a:r>
                      <a:rPr lang="en-US"/>
                      <a:t>$114,705,000</a:t>
                    </a:r>
                  </a:p>
                </c:rich>
              </c:tx>
              <c:spPr>
                <a:noFill/>
                <a:ln w="25401">
                  <a:noFill/>
                </a:ln>
              </c:spPr>
              <c:dLblPos val="bestFit"/>
              <c:showLegendKey val="0"/>
              <c:showVal val="0"/>
              <c:showCatName val="0"/>
              <c:showSerName val="0"/>
              <c:showPercent val="0"/>
              <c:showBubbleSize val="0"/>
            </c:dLbl>
            <c:dLbl>
              <c:idx val="1"/>
              <c:layout>
                <c:manualLayout>
                  <c:x val="-9.9565926655001621E-2"/>
                  <c:y val="3.7139107611548622E-3"/>
                </c:manualLayout>
              </c:layout>
              <c:tx>
                <c:rich>
                  <a:bodyPr/>
                  <a:lstStyle/>
                  <a:p>
                    <a:pPr>
                      <a:defRPr/>
                    </a:pPr>
                    <a:r>
                      <a:rPr lang="en-US"/>
                      <a:t>$3,486,000</a:t>
                    </a:r>
                  </a:p>
                </c:rich>
              </c:tx>
              <c:spPr>
                <a:noFill/>
                <a:ln w="25401">
                  <a:noFill/>
                </a:ln>
              </c:spPr>
              <c:dLblPos val="bestFit"/>
              <c:showLegendKey val="0"/>
              <c:showVal val="0"/>
              <c:showCatName val="0"/>
              <c:showSerName val="0"/>
              <c:showPercent val="0"/>
              <c:showBubbleSize val="0"/>
            </c:dLbl>
            <c:dLbl>
              <c:idx val="2"/>
              <c:layout>
                <c:manualLayout>
                  <c:x val="0.16085019320501587"/>
                  <c:y val="-2.5434320709911311E-4"/>
                </c:manualLayout>
              </c:layout>
              <c:tx>
                <c:rich>
                  <a:bodyPr/>
                  <a:lstStyle/>
                  <a:p>
                    <a:pPr>
                      <a:defRPr/>
                    </a:pPr>
                    <a:r>
                      <a:rPr lang="en-US"/>
                      <a:t>$1,456,000</a:t>
                    </a:r>
                  </a:p>
                </c:rich>
              </c:tx>
              <c:spPr>
                <a:noFill/>
                <a:ln w="25401">
                  <a:noFill/>
                </a:ln>
              </c:spPr>
              <c:dLblPos val="bestFit"/>
              <c:showLegendKey val="0"/>
              <c:showVal val="0"/>
              <c:showCatName val="0"/>
              <c:showSerName val="0"/>
              <c:showPercent val="0"/>
              <c:showBubbleSize val="0"/>
            </c:dLbl>
            <c:spPr>
              <a:noFill/>
              <a:ln w="25401">
                <a:noFill/>
              </a:ln>
            </c:spPr>
            <c:showLegendKey val="0"/>
            <c:showVal val="0"/>
            <c:showCatName val="0"/>
            <c:showSerName val="0"/>
            <c:showPercent val="1"/>
            <c:showBubbleSize val="0"/>
            <c:showLeaderLines val="1"/>
          </c:dLbls>
          <c:cat>
            <c:strRef>
              <c:f>Sheet1!$A$2:$A$4</c:f>
              <c:strCache>
                <c:ptCount val="3"/>
                <c:pt idx="0">
                  <c:v>Total Leveraged</c:v>
                </c:pt>
                <c:pt idx="1">
                  <c:v>Cash</c:v>
                </c:pt>
                <c:pt idx="2">
                  <c:v>In-Kind Services</c:v>
                </c:pt>
              </c:strCache>
            </c:strRef>
          </c:cat>
          <c:val>
            <c:numRef>
              <c:f>Sheet1!$B$2:$B$4</c:f>
              <c:numCache>
                <c:formatCode>General</c:formatCode>
                <c:ptCount val="3"/>
                <c:pt idx="0">
                  <c:v>114705000</c:v>
                </c:pt>
                <c:pt idx="1">
                  <c:v>3486000</c:v>
                </c:pt>
                <c:pt idx="2">
                  <c:v>1456000</c:v>
                </c:pt>
              </c:numCache>
            </c:numRef>
          </c:val>
        </c:ser>
        <c:dLbls>
          <c:showLegendKey val="0"/>
          <c:showVal val="0"/>
          <c:showCatName val="0"/>
          <c:showSerName val="0"/>
          <c:showPercent val="1"/>
          <c:showBubbleSize val="0"/>
          <c:showLeaderLines val="1"/>
        </c:dLbls>
      </c:pie3DChart>
      <c:spPr>
        <a:noFill/>
        <a:ln w="25401">
          <a:noFill/>
        </a:ln>
      </c:spPr>
    </c:plotArea>
    <c:legend>
      <c:legendPos val="t"/>
      <c:overlay val="0"/>
    </c:legend>
    <c:plotVisOnly val="1"/>
    <c:dispBlanksAs val="zero"/>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FCF2C753-E764-4E23-8023-12F645E7FE64}">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1</TotalTime>
  <Pages>3</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Toshiba</Company>
  <LinksUpToDate>false</LinksUpToDate>
  <CharactersWithSpaces>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MacKenzie</dc:creator>
  <cp:lastModifiedBy>Bill Hubbard</cp:lastModifiedBy>
  <cp:revision>2</cp:revision>
  <cp:lastPrinted>2012-05-30T15:24:00Z</cp:lastPrinted>
  <dcterms:created xsi:type="dcterms:W3CDTF">2012-05-30T21:13:00Z</dcterms:created>
  <dcterms:modified xsi:type="dcterms:W3CDTF">2012-05-30T21:13:00Z</dcterms:modified>
</cp:coreProperties>
</file>